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ind w:left="4956"/>
        <w:rPr>
          <w:rFonts w:ascii="Times New Roman" w:hAnsi="Times New Roman" w:cs="Times New Roman"/>
        </w:rPr>
      </w:pPr>
      <w:r>
        <w:br w:type="textWrapping" w:clear="all"/>
      </w:r>
      <w:r>
        <w:rPr>
          <w:rFonts w:ascii="Times New Roman" w:hAnsi="Times New Roman" w:cs="Times New Roman"/>
        </w:rPr>
        <w:t>Vážený pán primátor</w:t>
      </w:r>
      <w:r>
        <w:rPr>
          <w:rFonts w:ascii="Times New Roman" w:hAnsi="Times New Roman" w:cs="Times New Roman"/>
        </w:rPr>
        <w:t>/pani primátorka</w:t>
      </w:r>
      <w:bookmarkStart w:id="0" w:name="_GoBack"/>
      <w:bookmarkEnd w:id="0"/>
    </w:p>
    <w:p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Vážený pán starosta/pani starostka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tabs>
          <w:tab w:val="left" w:pos="24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>
      <w:pPr>
        <w:pStyle w:val="VEC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fldChar w:fldCharType="begin"/>
      </w:r>
      <w:r>
        <w:rPr>
          <w:b/>
          <w:sz w:val="22"/>
          <w:szCs w:val="22"/>
          <w:u w:val="single"/>
        </w:rPr>
        <w:instrText xml:space="preserve"> DOCPROPERTY  FSC#SKEDITIONREG@103.510:viz_filesubj  \* MERGEFORMAT </w:instrText>
      </w:r>
      <w:r>
        <w:rPr>
          <w:b/>
          <w:sz w:val="22"/>
          <w:szCs w:val="22"/>
          <w:u w:val="single"/>
        </w:rPr>
        <w:fldChar w:fldCharType="separate"/>
      </w:r>
      <w:proofErr w:type="spellStart"/>
      <w:r>
        <w:rPr>
          <w:b/>
          <w:sz w:val="22"/>
          <w:szCs w:val="22"/>
          <w:u w:val="single"/>
        </w:rPr>
        <w:t>Inflačná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pomoc</w:t>
      </w:r>
      <w:proofErr w:type="spellEnd"/>
      <w:r>
        <w:rPr>
          <w:b/>
          <w:sz w:val="22"/>
          <w:szCs w:val="22"/>
          <w:u w:val="single"/>
        </w:rPr>
        <w:t xml:space="preserve"> II. - </w:t>
      </w:r>
      <w:proofErr w:type="spellStart"/>
      <w:r>
        <w:rPr>
          <w:b/>
          <w:sz w:val="22"/>
          <w:szCs w:val="22"/>
          <w:u w:val="single"/>
        </w:rPr>
        <w:t>informácia</w:t>
      </w:r>
      <w:proofErr w:type="spellEnd"/>
      <w:r>
        <w:rPr>
          <w:b/>
          <w:sz w:val="22"/>
          <w:szCs w:val="22"/>
          <w:u w:val="single"/>
        </w:rPr>
        <w:t xml:space="preserve"> a </w:t>
      </w:r>
      <w:proofErr w:type="spellStart"/>
      <w:r>
        <w:rPr>
          <w:b/>
          <w:sz w:val="22"/>
          <w:szCs w:val="22"/>
          <w:u w:val="single"/>
        </w:rPr>
        <w:t>žiadosť</w:t>
      </w:r>
      <w:proofErr w:type="spellEnd"/>
      <w:r>
        <w:rPr>
          <w:b/>
          <w:sz w:val="22"/>
          <w:szCs w:val="22"/>
          <w:u w:val="single"/>
        </w:rPr>
        <w:t xml:space="preserve"> o </w:t>
      </w:r>
      <w:proofErr w:type="spellStart"/>
      <w:r>
        <w:rPr>
          <w:b/>
          <w:sz w:val="22"/>
          <w:szCs w:val="22"/>
          <w:u w:val="single"/>
        </w:rPr>
        <w:t>spoluprácu</w:t>
      </w:r>
      <w:proofErr w:type="spellEnd"/>
      <w:r>
        <w:rPr>
          <w:b/>
          <w:sz w:val="22"/>
          <w:szCs w:val="22"/>
          <w:u w:val="single"/>
        </w:rPr>
        <w:fldChar w:fldCharType="end"/>
      </w:r>
    </w:p>
    <w:p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Dňom 29.10.2022 nadobudlo účinnosť Nariadenie vlády SR č. 353/2022 Z. z., ktorým sa mení a dopĺňa Nariadenie vlády SR č. 103/2020 Z. z. o niektorých opatreniach v oblasti dotácií v pôsobnosti Ministerstva práce, sociálnych vecí a rodiny Slovenskej republiky v čase mimoriadnej situácie, núdzového stavu alebo výnimočného stavu vyhláseného v súvislosti s ochorením COVID-19 v znení neskorších predpisov (ďalej len „nariadenie“). </w:t>
      </w:r>
    </w:p>
    <w:p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novely nariadenia je finančne prispieť najzraniteľnejším skupinám osôb na pokrytie zvýšených výdavkov na bývanie, energie, stravu a pod. Nariadenie je súčasťou inflačnej pomoci a je jedným z nástrojov na zmiernenie následkov vysokej inflácie.</w:t>
      </w:r>
      <w:r>
        <w:rPr>
          <w:rFonts w:ascii="Times New Roman" w:hAnsi="Times New Roman" w:cs="Times New Roman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Suma jednorazovej dotácie je vo výške 100 Eur</w:t>
      </w:r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Formou žiadostí je možné požiadať o tieto jednorazové dotácie: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>
      <w:pPr>
        <w:pStyle w:val="Odsekzoznamu"/>
        <w:numPr>
          <w:ilvl w:val="0"/>
          <w:numId w:val="2"/>
        </w:numPr>
        <w:ind w:left="0"/>
        <w:contextualSpacing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Jednorazová dotácia vo výške 100 eur pre nezaopatrené dieťa, na ktoré je určená vyživovacia povinnosť rozhodnutím súdu najviac vo výške 150 eur</w:t>
      </w:r>
    </w:p>
    <w:p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Dotácia je určená nezaopatreným deťom, ktorým bola vykonateľným rozhodnutím súdu určená vyživovacia povinnosť nižšia ako 150 Eur. </w:t>
      </w:r>
    </w:p>
    <w:p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Žiadateľom o dotáciu je fyzická osoba (rodič dieťaťa/plnoleté nezaopatrené dieťa), ktorá je prijímateľom súdom určeného výživného.</w:t>
      </w:r>
    </w:p>
    <w:p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Žiadateľ je povinný k žiadosti predložiť posledné rozhodnutie súdu o určení vyživovacej povinnosti. </w:t>
      </w:r>
    </w:p>
    <w:p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 viacerých maloletých detí so súdom určenou vyživovacou povinnosťou podáva len jednu žiadosť za všetky svoje maloleté deti, na ktoré bola určená vyživovacia povinnosť nižšia ako 150 Eur.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Úrad pri posúdení nároku na dotáciu neskúma, či si povinná osoba plní resp. neplní svoju vyživovaciu povinnosť, ani či je úradom poskytované náhradné výživné.</w:t>
      </w:r>
    </w:p>
    <w:p>
      <w:pPr>
        <w:pStyle w:val="Odsekzoznamu"/>
        <w:ind w:left="0"/>
        <w:jc w:val="both"/>
        <w:rPr>
          <w:sz w:val="22"/>
          <w:szCs w:val="22"/>
        </w:rPr>
      </w:pPr>
    </w:p>
    <w:p>
      <w:pPr>
        <w:pStyle w:val="Odsekzoznamu"/>
        <w:numPr>
          <w:ilvl w:val="0"/>
          <w:numId w:val="2"/>
        </w:numPr>
        <w:ind w:left="0"/>
        <w:contextualSpacing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Jednorazová dotácia vo výške 100 eur pre plnoletú fyzickú osobu, ktorej v období od 30. apríla 2020 do 31. októbra 2022 z dôvodu nadobudnutia plnoletosti zaniklo zverenie do starostlivosti nahrádzajúcej starostlivosť rodičov</w:t>
      </w:r>
    </w:p>
    <w:p>
      <w:pPr>
        <w:pStyle w:val="Odsekzoznamu"/>
        <w:numPr>
          <w:ilvl w:val="0"/>
          <w:numId w:val="4"/>
        </w:numPr>
        <w:ind w:left="284"/>
        <w:contextualSpacing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Žiadateľom o dotáciu je plnoletá fyzická osoba, ktorá bola rozhodnutím súdu zverená do</w:t>
      </w:r>
      <w:r>
        <w:rPr>
          <w:color w:val="000000"/>
          <w:sz w:val="22"/>
          <w:szCs w:val="22"/>
        </w:rPr>
        <w:t>:</w:t>
      </w:r>
    </w:p>
    <w:p>
      <w:pPr>
        <w:numPr>
          <w:ilvl w:val="0"/>
          <w:numId w:val="3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osobnej starostlivosti inej fyzickej osoby než rodiča alebo</w:t>
      </w:r>
    </w:p>
    <w:p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pestúnskej starostlivosti alebo</w:t>
      </w:r>
    </w:p>
    <w:p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poručníctva, ak sa poručník osobne staral o dieťa alebo</w:t>
      </w:r>
    </w:p>
    <w:p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starostlivosti rozhodnutím súdu nariadením neodkladného opatrenia, ak súd konal o zverení do náhradnej starostlivosti podľa bodu 1. – 3. a tejto fyzickej osobe v období od 30.apríla 2020 do </w:t>
      </w:r>
    </w:p>
    <w:p>
      <w:pPr>
        <w:spacing w:after="0" w:line="240" w:lineRule="auto"/>
        <w:ind w:left="567" w:firstLine="3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31.októbra 2022 z dôvodu nadobudnutia plnoletosti zaniklo zverenie do náhradnej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     s</w:t>
      </w:r>
      <w:r>
        <w:rPr>
          <w:rFonts w:ascii="Times New Roman" w:eastAsia="Times New Roman" w:hAnsi="Times New Roman" w:cs="Times New Roman"/>
          <w:color w:val="000000"/>
          <w:lang w:eastAsia="sk-SK"/>
        </w:rPr>
        <w:t>tarostlivosti.</w:t>
      </w:r>
    </w:p>
    <w:p>
      <w:pPr>
        <w:spacing w:after="0" w:line="240" w:lineRule="auto"/>
        <w:ind w:left="567" w:firstLine="3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>
      <w:pPr>
        <w:spacing w:after="0" w:line="240" w:lineRule="auto"/>
        <w:ind w:left="567" w:firstLine="3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>
      <w:pPr>
        <w:spacing w:after="0" w:line="240" w:lineRule="auto"/>
        <w:ind w:left="567" w:firstLine="3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>
      <w:pPr>
        <w:pStyle w:val="Odsekzoznamu"/>
        <w:numPr>
          <w:ilvl w:val="0"/>
          <w:numId w:val="2"/>
        </w:numPr>
        <w:ind w:left="0"/>
        <w:contextualSpacing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Jednorazová dotácia vo výške 100 Eur pre plnoletú fyzickú osobu, pre ktorú sa v období od 30. apríla 2020 do 31. októbra 2022 vykonávali opatrenia sociálnoprávnej ochrany detí a sociálnej kurately v centre pre deti a rodiny na základe rozhodnutia</w:t>
      </w:r>
      <w:r>
        <w:rPr>
          <w:b/>
          <w:bCs/>
          <w:color w:val="000000"/>
          <w:sz w:val="22"/>
          <w:szCs w:val="22"/>
        </w:rPr>
        <w:t xml:space="preserve"> súdu pobytovou formou, s výnimkou výkonu resocializačného programu</w:t>
      </w:r>
    </w:p>
    <w:p>
      <w:pPr>
        <w:pStyle w:val="Odsekzoznamu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Žiadateľom o dotáciu je plnoletá fyzická osoba, ktorej bola rozhodnutím súdu pobytovou formou poskytovaná starostlivosť v centre pre deti a rodiny, a táto jej bola ukončená </w:t>
      </w:r>
      <w:r>
        <w:rPr>
          <w:color w:val="000000"/>
          <w:sz w:val="22"/>
          <w:szCs w:val="22"/>
        </w:rPr>
        <w:t>dovŕšením plnoletosti (t. j. plnoletá osoba opustila centrum dovŕšením 18 roku veku) alebo sa  v posudzovanom období ukončilo poskytovanie starostlivosti na základe dohody medzi mladým dospelým a centrom.</w:t>
      </w:r>
    </w:p>
    <w:p>
      <w:pPr>
        <w:pStyle w:val="Odsekzoznamu"/>
        <w:numPr>
          <w:ilvl w:val="0"/>
          <w:numId w:val="1"/>
        </w:num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Žiadateľ nie je povinný k žiadosti predkladať podporné doklady. </w:t>
      </w:r>
    </w:p>
    <w:p>
      <w:pPr>
        <w:pStyle w:val="Odsekzoznamu"/>
        <w:ind w:left="426"/>
        <w:rPr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Poskytovanie dotácií na podporu humanitárnej pomoci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Žiadateľom o dotáciu na podporu humanitárnej pomoci je fyzická osoba s trvalým alebo prechodným pobytom v SR.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Úrad poskytne dotáciu na základe žiadosti podanej do 31.12.2022</w:t>
      </w:r>
      <w:r>
        <w:rPr>
          <w:rFonts w:ascii="Times New Roman" w:hAnsi="Times New Roman" w:cs="Times New Roman"/>
        </w:rPr>
        <w:t xml:space="preserve">  osobne alebo poštou na príslušný úrad práce, sociálnych vecí a rodiny podľa trvalého/prechodného pobytu; elektronickými prostriedkami (e-mailom podpísanú vo forme </w:t>
      </w:r>
      <w:proofErr w:type="spellStart"/>
      <w:r>
        <w:rPr>
          <w:rFonts w:ascii="Times New Roman" w:hAnsi="Times New Roman" w:cs="Times New Roman"/>
        </w:rPr>
        <w:t>scanu</w:t>
      </w:r>
      <w:proofErr w:type="spellEnd"/>
      <w:r>
        <w:rPr>
          <w:rFonts w:ascii="Times New Roman" w:hAnsi="Times New Roman" w:cs="Times New Roman"/>
        </w:rPr>
        <w:t xml:space="preserve">) - bez kvalifikovaného elektronického podpisu, doplnenie žiadosti v listinnej podobe sa nevyžaduje. </w:t>
      </w:r>
    </w:p>
    <w:p>
      <w:pPr>
        <w:pStyle w:val="Odsekzoznamu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Na žiadosti podané po 31.12.2022 sa nebude prihliadať</w:t>
      </w:r>
      <w:r>
        <w:rPr>
          <w:sz w:val="22"/>
          <w:szCs w:val="22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Príslušný úrad po posúdení žiadosti na dotáciu a splnení podmienok vystaví Oznámenie o schválení jednorazovej dotácie na podporu humanitárnej pomoci pre fyzickú osobu. </w:t>
      </w:r>
      <w:r>
        <w:rPr>
          <w:rFonts w:ascii="Times New Roman" w:hAnsi="Times New Roman" w:cs="Times New Roman"/>
        </w:rPr>
        <w:br/>
        <w:t xml:space="preserve">V prípade neúplnej žiadosti o dotáciu (neuvedenie požadovaných údajov a skutočností), úrad o predloženej žiadosti nebude ďalej konať a bude informovať žiadateľa o neschválení jednorazovej dotácie na podporu humanitárnej pomoci pre fyzickú osobu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Vzhľadom na uvedené 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ás </w:t>
      </w:r>
      <w:r>
        <w:rPr>
          <w:rFonts w:ascii="Times New Roman" w:hAnsi="Times New Roman" w:cs="Times New Roman"/>
          <w:b/>
        </w:rPr>
        <w:t>prosíme</w:t>
      </w:r>
      <w:r>
        <w:rPr>
          <w:rFonts w:ascii="Times New Roman" w:hAnsi="Times New Roman" w:cs="Times New Roman"/>
          <w:b/>
        </w:rPr>
        <w:t xml:space="preserve"> o spoluprácu pri poskytovaní informácií ohľadom inflačnej pomoci</w:t>
      </w:r>
      <w:r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  <w:b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ÚPSVR </w:t>
      </w:r>
      <w:r>
        <w:rPr>
          <w:rFonts w:ascii="Times New Roman" w:hAnsi="Times New Roman" w:cs="Times New Roman"/>
          <w:color w:val="000000"/>
        </w:rPr>
        <w:t>Piešťany</w:t>
      </w:r>
      <w:r>
        <w:rPr>
          <w:rFonts w:ascii="Times New Roman" w:hAnsi="Times New Roman" w:cs="Times New Roman"/>
          <w:color w:val="000000"/>
        </w:rPr>
        <w:t xml:space="preserve"> Vám v prílohe zasiela leták s informáciami o inflačnej pomoci, zároveň si Vás  dovoľuje  požiadať o zverejnenie predmetného letáku a informovanie občanov prostredníctvom Vám dostupných informačných (komunikačných) kanálov (webové stránky obce, mesta, sociálne siete, atď.)</w:t>
      </w:r>
    </w:p>
    <w:p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 za spoluprácu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pozdravom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>Ľubica Vavrová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riaditeľ</w:t>
      </w:r>
      <w:r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úradu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>
      <w:pPr>
        <w:tabs>
          <w:tab w:val="left" w:pos="960"/>
        </w:tabs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rílohy: leták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sectPr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autoSpaceDE w:val="0"/>
      <w:autoSpaceDN w:val="0"/>
      <w:spacing w:after="0" w:line="181" w:lineRule="atLeast"/>
      <w:jc w:val="right"/>
      <w:rPr>
        <w:color w:val="4472C4" w:themeColor="accent5"/>
        <w:sz w:val="16"/>
        <w:szCs w:val="16"/>
      </w:rPr>
    </w:pPr>
    <w:r>
      <w:rPr>
        <w:rFonts w:ascii="Calibri" w:hAnsi="Calibri" w:cs="Arial"/>
        <w:bCs/>
        <w:noProof/>
        <w:color w:val="2F5496" w:themeColor="accent5" w:themeShade="BF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5866257</wp:posOffset>
              </wp:positionH>
              <wp:positionV relativeFrom="paragraph">
                <wp:posOffset>6985</wp:posOffset>
              </wp:positionV>
              <wp:extent cx="7315" cy="468172"/>
              <wp:effectExtent l="0" t="0" r="31115" b="27305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" cy="468172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96F43E" id="Rovná spojnica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9pt,.55pt" to="462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" strokecolor="red" strokeweight="1pt">
              <v:stroke joinstyle="miter"/>
            </v:line>
          </w:pict>
        </mc:Fallback>
      </mc:AlternateContent>
    </w:r>
    <w:r>
      <w:rPr>
        <w:rFonts w:ascii="Calibri" w:hAnsi="Calibri" w:cs="Arial"/>
        <w:bCs/>
        <w:color w:val="2F5496" w:themeColor="accent5" w:themeShade="BF"/>
        <w:sz w:val="16"/>
        <w:szCs w:val="16"/>
      </w:rPr>
      <w:t>Úrad práce, sociálnych vecí a rodiny Piešťany</w:t>
    </w:r>
    <w:r>
      <w:rPr>
        <w:rFonts w:ascii="Calibri" w:hAnsi="Calibri" w:cs="Arial"/>
        <w:b/>
        <w:bCs/>
        <w:color w:val="2F5496" w:themeColor="accent5" w:themeShade="BF"/>
      </w:rPr>
      <w:t xml:space="preserve"> </w:t>
    </w:r>
    <w:r>
      <w:rPr>
        <w:b/>
        <w:bCs/>
        <w:color w:val="FF0000"/>
        <w:sz w:val="16"/>
        <w:szCs w:val="16"/>
      </w:rPr>
      <w:t>|</w:t>
    </w:r>
    <w:r>
      <w:rPr>
        <w:color w:val="1F497D"/>
        <w:sz w:val="16"/>
        <w:szCs w:val="16"/>
      </w:rPr>
      <w:t xml:space="preserve"> </w:t>
    </w:r>
    <w:r>
      <w:rPr>
        <w:color w:val="2F5496" w:themeColor="accent5" w:themeShade="BF"/>
        <w:sz w:val="16"/>
        <w:szCs w:val="16"/>
      </w:rPr>
      <w:t>Krajinská cesta 5053/13</w:t>
    </w:r>
    <w:r>
      <w:rPr>
        <w:b/>
        <w:bCs/>
        <w:color w:val="2F5496" w:themeColor="accent5" w:themeShade="BF"/>
        <w:sz w:val="16"/>
        <w:szCs w:val="16"/>
      </w:rPr>
      <w:t xml:space="preserve"> </w:t>
    </w:r>
    <w:r>
      <w:rPr>
        <w:b/>
        <w:bCs/>
        <w:color w:val="FF0000"/>
        <w:sz w:val="16"/>
        <w:szCs w:val="16"/>
      </w:rPr>
      <w:t>|</w:t>
    </w:r>
    <w:r>
      <w:rPr>
        <w:color w:val="1F497D"/>
        <w:sz w:val="16"/>
        <w:szCs w:val="16"/>
      </w:rPr>
      <w:t xml:space="preserve"> </w:t>
    </w:r>
    <w:r>
      <w:rPr>
        <w:color w:val="2F5496" w:themeColor="accent5" w:themeShade="BF"/>
        <w:sz w:val="16"/>
        <w:szCs w:val="16"/>
      </w:rPr>
      <w:t xml:space="preserve">921 01  Piešťany </w:t>
    </w:r>
    <w:r>
      <w:rPr>
        <w:b/>
        <w:bCs/>
        <w:color w:val="FF0000"/>
        <w:sz w:val="16"/>
        <w:szCs w:val="16"/>
      </w:rPr>
      <w:t>|</w:t>
    </w:r>
    <w:r>
      <w:rPr>
        <w:b/>
        <w:bCs/>
        <w:color w:val="1F497D"/>
        <w:sz w:val="16"/>
        <w:szCs w:val="16"/>
      </w:rPr>
      <w:t xml:space="preserve"> </w:t>
    </w:r>
    <w:r>
      <w:rPr>
        <w:color w:val="2F5496" w:themeColor="accent5" w:themeShade="BF"/>
        <w:sz w:val="16"/>
        <w:szCs w:val="16"/>
      </w:rPr>
      <w:t>Slovenská republika</w:t>
    </w:r>
  </w:p>
  <w:p>
    <w:pPr>
      <w:autoSpaceDE w:val="0"/>
      <w:autoSpaceDN w:val="0"/>
      <w:spacing w:after="0" w:line="181" w:lineRule="atLeast"/>
      <w:jc w:val="right"/>
      <w:rPr>
        <w:color w:val="1F497D"/>
        <w:sz w:val="16"/>
        <w:szCs w:val="16"/>
      </w:rPr>
    </w:pPr>
    <w:r>
      <w:rPr>
        <w:color w:val="2F5496" w:themeColor="accent5" w:themeShade="BF"/>
        <w:sz w:val="16"/>
        <w:szCs w:val="16"/>
      </w:rPr>
      <w:t xml:space="preserve">Tel.: </w:t>
    </w:r>
    <w:r>
      <w:rPr>
        <w:color w:val="2F5496" w:themeColor="accent5" w:themeShade="BF"/>
        <w:sz w:val="16"/>
        <w:szCs w:val="16"/>
        <w:shd w:val="clear" w:color="auto" w:fill="FFFFFF"/>
      </w:rPr>
      <w:t>+421 033/2441 999</w:t>
    </w:r>
    <w:r>
      <w:rPr>
        <w:b/>
        <w:bCs/>
        <w:color w:val="FF0000"/>
        <w:sz w:val="16"/>
        <w:szCs w:val="16"/>
      </w:rPr>
      <w:t xml:space="preserve">|  </w:t>
    </w:r>
    <w:hyperlink r:id="rId1" w:history="1">
      <w:r>
        <w:rPr>
          <w:rStyle w:val="Hypertextovprepojenie"/>
          <w:color w:val="2F5496" w:themeColor="accent5" w:themeShade="BF"/>
          <w:sz w:val="16"/>
          <w:szCs w:val="16"/>
        </w:rPr>
        <w:t>www.upsvr.gov.sk</w:t>
      </w:r>
    </w:hyperlink>
    <w:r>
      <w:rPr>
        <w:color w:val="1F497D"/>
        <w:sz w:val="16"/>
        <w:szCs w:val="16"/>
      </w:rPr>
      <w:t xml:space="preserve"> </w:t>
    </w:r>
  </w:p>
  <w:p>
    <w:pPr>
      <w:autoSpaceDE w:val="0"/>
      <w:autoSpaceDN w:val="0"/>
      <w:spacing w:line="181" w:lineRule="atLeast"/>
      <w:jc w:val="both"/>
      <w:rPr>
        <w:color w:val="1F497D"/>
        <w:sz w:val="16"/>
        <w:szCs w:val="16"/>
      </w:rPr>
    </w:pP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  <w:p>
    <w:pPr>
      <w:pStyle w:val="Hlavika"/>
    </w:pPr>
  </w:p>
  <w:p>
    <w:pPr>
      <w:pStyle w:val="Hlavika"/>
    </w:pPr>
  </w:p>
  <w:p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-306730</wp:posOffset>
          </wp:positionH>
          <wp:positionV relativeFrom="paragraph">
            <wp:posOffset>-139395</wp:posOffset>
          </wp:positionV>
          <wp:extent cx="2092299" cy="582362"/>
          <wp:effectExtent l="0" t="0" r="3810" b="8255"/>
          <wp:wrapSquare wrapText="bothSides"/>
          <wp:docPr id="11" name="Obrázok 11" descr="urad-prac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rad-prace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299" cy="58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A70"/>
    <w:multiLevelType w:val="hybridMultilevel"/>
    <w:tmpl w:val="D9D436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9581F"/>
    <w:multiLevelType w:val="multilevel"/>
    <w:tmpl w:val="E9EC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0516E"/>
    <w:multiLevelType w:val="hybridMultilevel"/>
    <w:tmpl w:val="E7FEB8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6264"/>
    <w:multiLevelType w:val="hybridMultilevel"/>
    <w:tmpl w:val="F19A3F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BBD820-37E7-49D7-8247-F2DA92B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VEC">
    <w:name w:val="VEC"/>
    <w:basedOn w:val="Norm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svr.go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03FC-D4AB-428B-9B5A-75AB2E5D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Lenická Marcela</dc:creator>
  <cp:keywords/>
  <dc:description/>
  <cp:lastModifiedBy>Vavrová Ľubica</cp:lastModifiedBy>
  <cp:revision>12</cp:revision>
  <cp:lastPrinted>2022-03-28T06:44:00Z</cp:lastPrinted>
  <dcterms:created xsi:type="dcterms:W3CDTF">2022-03-24T12:27:00Z</dcterms:created>
  <dcterms:modified xsi:type="dcterms:W3CDTF">2022-12-05T13:24:00Z</dcterms:modified>
</cp:coreProperties>
</file>